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59B5" w14:textId="77777777" w:rsidR="00A452D5" w:rsidRDefault="00A452D5" w:rsidP="00A452D5">
      <w:pPr>
        <w:pStyle w:val="Normal1"/>
        <w:ind w:left="2448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FORMULARIO ACTA DICTAMEN</w:t>
      </w:r>
    </w:p>
    <w:p w14:paraId="384B4334" w14:textId="77777777" w:rsidR="00A452D5" w:rsidRDefault="00A452D5" w:rsidP="00A452D5">
      <w:pPr>
        <w:pStyle w:val="Normal1"/>
        <w:ind w:left="2448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A5E028C" w14:textId="451C1C7A" w:rsidR="00A452D5" w:rsidRPr="00EC57AB" w:rsidRDefault="00A452D5" w:rsidP="00A452D5">
      <w:pPr>
        <w:pStyle w:val="Normal1"/>
        <w:widowControl w:val="0"/>
        <w:spacing w:before="374"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el día de la fecha 1de diciembre de 2020, se reúne la Comisión ad hoc, de acuerdo a lo establecido en la Resolución Ministerial N° 194 / 2020 constituida por: Maricel Rojas, Marita Suarez, Cristian Rossi y Fabiana Perrone a los fines de tratar en el orden del día: la Cobertura de horas cátedra vacantes para el espacio curricular / unidad curricular Fenómenos Termodinámicos  </w:t>
      </w:r>
      <w:r w:rsidR="00EC57AB">
        <w:rPr>
          <w:rFonts w:ascii="Arial" w:eastAsia="Arial" w:hAnsi="Arial" w:cs="Arial"/>
          <w:sz w:val="24"/>
          <w:szCs w:val="24"/>
        </w:rPr>
        <w:t xml:space="preserve">de la carrera de Profesorado de Física </w:t>
      </w:r>
      <w:r>
        <w:rPr>
          <w:rFonts w:ascii="Arial" w:eastAsia="Arial" w:hAnsi="Arial" w:cs="Arial"/>
          <w:sz w:val="24"/>
          <w:szCs w:val="24"/>
        </w:rPr>
        <w:t>del Instituto Eduardo Lefébvre de Laboulaye de la localidad Laboulaye del Departamento Roque Sáenz Peña con una carga horaria de 6 horas. Carácter:</w:t>
      </w:r>
      <w:r w:rsidRPr="00A452D5">
        <w:rPr>
          <w:color w:val="000000"/>
          <w:sz w:val="27"/>
          <w:szCs w:val="27"/>
        </w:rPr>
        <w:t xml:space="preserve"> </w:t>
      </w:r>
      <w:r w:rsidRPr="00EC57AB">
        <w:rPr>
          <w:rFonts w:ascii="Arial" w:hAnsi="Arial" w:cs="Arial"/>
          <w:color w:val="000000"/>
          <w:sz w:val="24"/>
          <w:szCs w:val="24"/>
        </w:rPr>
        <w:t>Interino a Término</w:t>
      </w:r>
    </w:p>
    <w:p w14:paraId="43949AD6" w14:textId="34EED84E" w:rsidR="00A452D5" w:rsidRDefault="00A452D5" w:rsidP="00A452D5">
      <w:pPr>
        <w:pStyle w:val="Normal1"/>
        <w:widowControl w:val="0"/>
        <w:spacing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Fecha de vigencia de la publicación desde </w:t>
      </w:r>
      <w:r w:rsidR="00EC57AB">
        <w:rPr>
          <w:rFonts w:ascii="Arial" w:eastAsia="Arial" w:hAnsi="Arial" w:cs="Arial"/>
          <w:sz w:val="24"/>
          <w:szCs w:val="24"/>
        </w:rPr>
        <w:t>el 3 de noviembre al 5 de noviembre de 2020.</w:t>
      </w:r>
    </w:p>
    <w:p w14:paraId="0EB79F08" w14:textId="09ED7E78" w:rsidR="00EC57AB" w:rsidRPr="00153908" w:rsidRDefault="00A452D5" w:rsidP="00A452D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C57AB">
        <w:rPr>
          <w:rFonts w:ascii="Arial" w:eastAsia="Arial" w:hAnsi="Arial" w:cs="Arial"/>
          <w:sz w:val="24"/>
          <w:szCs w:val="24"/>
        </w:rPr>
        <w:t>Horario de dictado:</w:t>
      </w:r>
      <w:r w:rsidRPr="00EC57AB">
        <w:rPr>
          <w:rFonts w:ascii="Arial" w:eastAsia="Times New Roman" w:hAnsi="Arial" w:cs="Arial"/>
          <w:color w:val="26282A"/>
          <w:spacing w:val="-6"/>
          <w:sz w:val="24"/>
          <w:szCs w:val="24"/>
          <w:bdr w:val="none" w:sz="0" w:space="0" w:color="auto" w:frame="1"/>
        </w:rPr>
        <w:t xml:space="preserve">  </w:t>
      </w:r>
      <w:r w:rsidR="00EC57AB" w:rsidRPr="00EC57AB">
        <w:rPr>
          <w:rFonts w:ascii="Arial" w:hAnsi="Arial" w:cs="Arial"/>
          <w:color w:val="000000"/>
          <w:sz w:val="24"/>
          <w:szCs w:val="24"/>
        </w:rPr>
        <w:t xml:space="preserve">Días y horario de desempeño: </w:t>
      </w:r>
      <w:r w:rsidR="00153908" w:rsidRPr="00153908">
        <w:rPr>
          <w:rFonts w:ascii="Arial" w:hAnsi="Arial" w:cs="Arial"/>
          <w:color w:val="000000"/>
          <w:sz w:val="24"/>
          <w:szCs w:val="24"/>
        </w:rPr>
        <w:t>miércoles: 19.55 a 20.35, 20.35 a 21.15, 21.15 a 21.55 viernes: 18.35 a 19.15, 19.15 a 19.55, 19.55 a 20.35</w:t>
      </w:r>
    </w:p>
    <w:p w14:paraId="3704E5C0" w14:textId="49B643AB" w:rsidR="00A452D5" w:rsidRPr="00EC57AB" w:rsidRDefault="00EC57AB" w:rsidP="00A452D5">
      <w:pPr>
        <w:shd w:val="clear" w:color="auto" w:fill="FFFFFF"/>
        <w:jc w:val="both"/>
        <w:rPr>
          <w:rFonts w:ascii="Arial" w:eastAsia="Times New Roman" w:hAnsi="Arial" w:cs="Arial"/>
          <w:color w:val="26282A"/>
          <w:spacing w:val="-6"/>
          <w:sz w:val="24"/>
          <w:szCs w:val="24"/>
          <w:bdr w:val="none" w:sz="0" w:space="0" w:color="auto" w:frame="1"/>
        </w:rPr>
      </w:pPr>
      <w:r w:rsidRPr="00EC57AB">
        <w:rPr>
          <w:rFonts w:ascii="Arial" w:hAnsi="Arial" w:cs="Arial"/>
          <w:color w:val="000000"/>
          <w:sz w:val="24"/>
          <w:szCs w:val="24"/>
        </w:rPr>
        <w:t>Causal de la vacante: Apertura</w:t>
      </w:r>
      <w:r w:rsidR="00A452D5" w:rsidRPr="00EC57AB">
        <w:rPr>
          <w:rFonts w:ascii="Arial" w:eastAsia="Times New Roman" w:hAnsi="Arial" w:cs="Arial"/>
          <w:color w:val="26282A"/>
          <w:spacing w:val="-6"/>
          <w:sz w:val="24"/>
          <w:szCs w:val="24"/>
          <w:bdr w:val="none" w:sz="0" w:space="0" w:color="auto" w:frame="1"/>
        </w:rPr>
        <w:t xml:space="preserve">                         </w:t>
      </w:r>
    </w:p>
    <w:p w14:paraId="51EEC0B4" w14:textId="77777777" w:rsidR="00A452D5" w:rsidRPr="001E5E7E" w:rsidRDefault="00A452D5" w:rsidP="00A452D5">
      <w:pPr>
        <w:pStyle w:val="Normal1"/>
        <w:widowControl w:val="0"/>
        <w:spacing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</w:p>
    <w:p w14:paraId="4F639DF2" w14:textId="77777777" w:rsidR="00A452D5" w:rsidRDefault="00A452D5" w:rsidP="00A452D5">
      <w:pPr>
        <w:pStyle w:val="Normal1"/>
        <w:spacing w:before="72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La evaluación de títulos y antecedentes laborales y profesionales y la </w:t>
      </w:r>
      <w:r>
        <w:rPr>
          <w:rFonts w:ascii="Arial" w:eastAsia="Arial" w:hAnsi="Arial" w:cs="Arial"/>
          <w:b/>
          <w:sz w:val="24"/>
          <w:szCs w:val="24"/>
        </w:rPr>
        <w:t>ponderación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Proyecto de abordaje de los aspirantes inscriptos para la cobertura del espacio vacante, determina el presente orden de mérito:</w:t>
      </w:r>
    </w:p>
    <w:p w14:paraId="3BAF1D9D" w14:textId="77777777" w:rsidR="00A452D5" w:rsidRDefault="00A452D5" w:rsidP="00A452D5">
      <w:pPr>
        <w:pStyle w:val="Normal1"/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80FDB90" w14:textId="77777777" w:rsidR="00A452D5" w:rsidRDefault="00A452D5" w:rsidP="00A452D5">
      <w:pPr>
        <w:pStyle w:val="Normal1"/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8726" w:type="dxa"/>
        <w:tblInd w:w="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1561"/>
        <w:gridCol w:w="1200"/>
        <w:gridCol w:w="1590"/>
        <w:gridCol w:w="1155"/>
        <w:gridCol w:w="1324"/>
        <w:gridCol w:w="1226"/>
      </w:tblGrid>
      <w:tr w:rsidR="00A452D5" w14:paraId="3944881C" w14:textId="77777777" w:rsidTr="0028640B">
        <w:trPr>
          <w:trHeight w:val="645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00C0" w14:textId="77777777" w:rsidR="00A452D5" w:rsidRDefault="00A452D5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Orden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8CA2" w14:textId="77777777" w:rsidR="00A452D5" w:rsidRDefault="00A452D5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Apellido/s y Nombre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F63E" w14:textId="77777777" w:rsidR="00A452D5" w:rsidRDefault="00A452D5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AF19" w14:textId="77777777" w:rsidR="00A452D5" w:rsidRDefault="00A452D5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Titulación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0E41" w14:textId="77777777" w:rsidR="00A452D5" w:rsidRPr="0002636B" w:rsidRDefault="00A452D5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636B">
              <w:rPr>
                <w:rFonts w:ascii="Arial" w:eastAsia="Arial" w:hAnsi="Arial" w:cs="Arial"/>
                <w:b/>
                <w:sz w:val="18"/>
                <w:szCs w:val="18"/>
              </w:rPr>
              <w:t>Puntaje de Títulos y antece- dentes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819E" w14:textId="77777777" w:rsidR="00A452D5" w:rsidRDefault="00A452D5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14:paraId="7BB87877" w14:textId="77777777" w:rsidR="00A452D5" w:rsidRDefault="00A452D5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Proyecto de abordaje del EC/UC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66E9" w14:textId="77777777" w:rsidR="00A452D5" w:rsidRDefault="00A452D5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62F83F" w14:textId="77777777" w:rsidR="00A452D5" w:rsidRDefault="00A452D5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3DA6F9D" w14:textId="77777777" w:rsidR="00A452D5" w:rsidRDefault="00A452D5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14:paraId="2DF8B500" w14:textId="77777777" w:rsidR="00A452D5" w:rsidRDefault="00A452D5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Total</w:t>
            </w:r>
          </w:p>
        </w:tc>
      </w:tr>
      <w:tr w:rsidR="00A452D5" w14:paraId="313BF950" w14:textId="77777777" w:rsidTr="0028640B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5C1D" w14:textId="77777777" w:rsidR="00A452D5" w:rsidRDefault="00A452D5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7203" w14:textId="0262BF09" w:rsidR="00A452D5" w:rsidRPr="00FE1869" w:rsidRDefault="00A452D5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Ochoa Ana Laura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E71D" w14:textId="24D06566" w:rsidR="00A452D5" w:rsidRPr="00FE1869" w:rsidRDefault="007974DC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30.477.189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E720" w14:textId="665C9BE4" w:rsidR="00A452D5" w:rsidRPr="00FE1869" w:rsidRDefault="00A452D5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Lic. en Química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9B2D" w14:textId="4310A834" w:rsidR="00A452D5" w:rsidRPr="00FE1869" w:rsidRDefault="00A452D5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817,50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BB6A" w14:textId="579CC0A7" w:rsidR="00A452D5" w:rsidRPr="00FE1869" w:rsidRDefault="00A452D5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229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CEC4" w14:textId="10B6B3AE" w:rsidR="00A452D5" w:rsidRPr="00FE1869" w:rsidRDefault="00A452D5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1046,50</w:t>
            </w:r>
          </w:p>
        </w:tc>
      </w:tr>
    </w:tbl>
    <w:p w14:paraId="5076E759" w14:textId="77777777" w:rsidR="00A452D5" w:rsidRDefault="00A452D5" w:rsidP="00A452D5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 añade a continuación el detalle de la grilla </w:t>
      </w:r>
    </w:p>
    <w:p w14:paraId="7C962356" w14:textId="77777777" w:rsidR="00A452D5" w:rsidRDefault="00A452D5" w:rsidP="00A452D5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6D68A90" w14:textId="77777777" w:rsidR="00A452D5" w:rsidRDefault="00A452D5" w:rsidP="00A452D5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FD6EE49" w14:textId="77777777" w:rsidR="00A452D5" w:rsidRDefault="00A452D5" w:rsidP="00A452D5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rPr>
          <w:rFonts w:ascii="Arial" w:eastAsia="Arial" w:hAnsi="Arial" w:cs="Arial"/>
          <w:b/>
          <w:sz w:val="24"/>
          <w:szCs w:val="24"/>
        </w:rPr>
      </w:pPr>
    </w:p>
    <w:p w14:paraId="38CD6B22" w14:textId="77777777" w:rsidR="00A452D5" w:rsidRDefault="00A452D5" w:rsidP="00A452D5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rPr>
          <w:rFonts w:ascii="Arial" w:eastAsia="Arial" w:hAnsi="Arial" w:cs="Arial"/>
          <w:b/>
          <w:sz w:val="24"/>
          <w:szCs w:val="24"/>
        </w:rPr>
      </w:pPr>
    </w:p>
    <w:p w14:paraId="1513CBBF" w14:textId="77777777" w:rsidR="00A452D5" w:rsidRDefault="00A452D5" w:rsidP="00A452D5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rPr>
          <w:rFonts w:ascii="Arial" w:eastAsia="Arial" w:hAnsi="Arial" w:cs="Arial"/>
          <w:b/>
          <w:sz w:val="24"/>
          <w:szCs w:val="24"/>
        </w:rPr>
      </w:pPr>
    </w:p>
    <w:p w14:paraId="38700C59" w14:textId="77777777" w:rsidR="00A452D5" w:rsidRDefault="00A452D5" w:rsidP="00A452D5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rPr>
          <w:rFonts w:ascii="Arial" w:eastAsia="Arial" w:hAnsi="Arial" w:cs="Arial"/>
          <w:b/>
          <w:sz w:val="24"/>
          <w:szCs w:val="24"/>
        </w:rPr>
      </w:pPr>
    </w:p>
    <w:p w14:paraId="523BF4C9" w14:textId="77777777" w:rsidR="00A452D5" w:rsidRDefault="00A452D5" w:rsidP="00A452D5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rPr>
          <w:rFonts w:ascii="Arial" w:eastAsia="Arial" w:hAnsi="Arial" w:cs="Arial"/>
          <w:b/>
          <w:sz w:val="24"/>
          <w:szCs w:val="24"/>
        </w:rPr>
      </w:pPr>
    </w:p>
    <w:p w14:paraId="0F8E7495" w14:textId="3D968368" w:rsidR="00A452D5" w:rsidRDefault="00A452D5" w:rsidP="00A452D5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GRILLA DE VALORACIÓN DE TÍTULOS Y ANTECEDENTES LABORALES Y PROFESIONALES</w:t>
      </w:r>
    </w:p>
    <w:tbl>
      <w:tblPr>
        <w:tblW w:w="40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365"/>
        <w:gridCol w:w="1530"/>
      </w:tblGrid>
      <w:tr w:rsidR="00A452D5" w14:paraId="795BDFCA" w14:textId="77777777" w:rsidTr="00A452D5">
        <w:trPr>
          <w:trHeight w:val="900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1B296E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114EBC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Aspirante</w:t>
            </w:r>
          </w:p>
          <w:p w14:paraId="6B0639BE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de inscripción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E217BF" w14:textId="0D886698" w:rsidR="00A452D5" w:rsidRDefault="00A452D5" w:rsidP="0028640B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OCHOA</w:t>
            </w:r>
          </w:p>
        </w:tc>
      </w:tr>
      <w:tr w:rsidR="00A452D5" w14:paraId="54CB7E0A" w14:textId="77777777" w:rsidTr="00A452D5">
        <w:trPr>
          <w:trHeight w:val="37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A54F8D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Titulación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E9C823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Inscripción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AFC07A" w14:textId="7B6DD641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</w:tr>
      <w:tr w:rsidR="00A452D5" w14:paraId="6F118A75" w14:textId="77777777" w:rsidTr="00A452D5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AF3727" w14:textId="77777777" w:rsidR="00A452D5" w:rsidRDefault="00A452D5" w:rsidP="0028640B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E38DC3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Acumulación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C24D53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52D5" w14:paraId="59DD3C9C" w14:textId="77777777" w:rsidTr="00A452D5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99BE0" w14:textId="77777777" w:rsidR="00A452D5" w:rsidRDefault="00A452D5" w:rsidP="0028640B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Trayec Pedagógico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DD8D1C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52D5" w14:paraId="7CF77D39" w14:textId="77777777" w:rsidTr="00A452D5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B0278" w14:textId="77777777" w:rsidR="00A452D5" w:rsidRDefault="00A452D5" w:rsidP="0028640B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4A683E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Grados espec.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8E0AA2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52D5" w14:paraId="5DBC8BF3" w14:textId="77777777" w:rsidTr="00A452D5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8BE2E7" w14:textId="77777777" w:rsidR="00A452D5" w:rsidRDefault="00A452D5" w:rsidP="0028640B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8C80AD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Títulos espec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312EA3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52D5" w14:paraId="1E1AF402" w14:textId="77777777" w:rsidTr="00A452D5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51C6F1" w14:textId="77777777" w:rsidR="00A452D5" w:rsidRDefault="00A452D5" w:rsidP="0028640B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Experiencia laboral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9C0F9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Antig. docente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7CFDDB" w14:textId="49FDA810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A452D5" w14:paraId="552227CC" w14:textId="77777777" w:rsidTr="00A452D5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0FBE0E" w14:textId="77777777" w:rsidR="00A452D5" w:rsidRDefault="00A452D5" w:rsidP="0028640B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AE3F1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Exper. Profes.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0791FB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52D5" w14:paraId="794E4D60" w14:textId="77777777" w:rsidTr="00A452D5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DA6C3" w14:textId="77777777" w:rsidR="00A452D5" w:rsidRDefault="00A452D5" w:rsidP="0028640B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Continua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D33EAA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Específica para Nivel Sup.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7BF98" w14:textId="77777777" w:rsidR="00A452D5" w:rsidRDefault="00A452D5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52D5" w14:paraId="3CC95255" w14:textId="77777777" w:rsidTr="00A452D5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B564F" w14:textId="77777777" w:rsidR="00A452D5" w:rsidRDefault="00A452D5" w:rsidP="0028640B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2AE70D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Específica ámbito laboral v relacionada con el EC/UC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EE82BC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52D5" w14:paraId="159D07C0" w14:textId="77777777" w:rsidTr="00A452D5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686A03" w14:textId="77777777" w:rsidR="00A452D5" w:rsidRDefault="00A452D5" w:rsidP="0028640B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B7B47B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general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939FCA" w14:textId="2B5D07F5" w:rsidR="00A452D5" w:rsidRDefault="00A452D5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7,50</w:t>
            </w:r>
          </w:p>
        </w:tc>
      </w:tr>
      <w:tr w:rsidR="00A452D5" w14:paraId="6F60BB10" w14:textId="77777777" w:rsidTr="00A452D5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3F0D5E" w14:textId="77777777" w:rsidR="00A452D5" w:rsidRDefault="00A452D5" w:rsidP="0028640B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Publicaciones específicas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F0A6F7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52D5" w14:paraId="3469B0E3" w14:textId="77777777" w:rsidTr="00A452D5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55949" w14:textId="77777777" w:rsidR="00A452D5" w:rsidRDefault="00A452D5" w:rsidP="0028640B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Investigaciones específicas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F24C2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52D5" w14:paraId="21952B65" w14:textId="77777777" w:rsidTr="00A452D5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B3CF94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 antecedentes laborales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2F35CF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52D5" w14:paraId="17047528" w14:textId="77777777" w:rsidTr="00A452D5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AE8067" w14:textId="77777777" w:rsidR="00A452D5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puntaje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80F0E5" w14:textId="5BE6624D" w:rsidR="00A452D5" w:rsidRDefault="00A452D5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817,50</w:t>
            </w:r>
          </w:p>
        </w:tc>
      </w:tr>
    </w:tbl>
    <w:p w14:paraId="210F35C8" w14:textId="77777777" w:rsidR="00A452D5" w:rsidRDefault="00A452D5" w:rsidP="00A452D5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Aspirantes no merituados (en caso de que hubiere): se consignará:</w:t>
      </w:r>
    </w:p>
    <w:tbl>
      <w:tblPr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1620"/>
        <w:gridCol w:w="2370"/>
        <w:gridCol w:w="2610"/>
      </w:tblGrid>
      <w:tr w:rsidR="00A452D5" w14:paraId="46075165" w14:textId="77777777" w:rsidTr="0028640B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009D" w14:textId="77777777" w:rsidR="00A452D5" w:rsidRDefault="00A452D5" w:rsidP="0028640B">
            <w:pPr>
              <w:pStyle w:val="Normal1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6167" w14:textId="77777777" w:rsidR="00A452D5" w:rsidRDefault="00A452D5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DNI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6223" w14:textId="77777777" w:rsidR="00A452D5" w:rsidRDefault="00A452D5" w:rsidP="0028640B">
            <w:pPr>
              <w:pStyle w:val="Normal1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E1FC" w14:textId="77777777" w:rsidR="00A452D5" w:rsidRDefault="00A452D5" w:rsidP="0028640B">
            <w:pPr>
              <w:pStyle w:val="Normal1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de lo dictaminado</w:t>
            </w:r>
          </w:p>
        </w:tc>
      </w:tr>
      <w:tr w:rsidR="00A452D5" w14:paraId="3AE5F9E2" w14:textId="77777777" w:rsidTr="0028640B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6928" w14:textId="3682EE3B" w:rsidR="00A452D5" w:rsidRPr="0002636B" w:rsidRDefault="00A452D5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-----------------------------------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F8B9" w14:textId="0EB91C6E" w:rsidR="00A452D5" w:rsidRPr="0002636B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-------------------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BF35" w14:textId="18AB8E45" w:rsidR="00A452D5" w:rsidRPr="0002636B" w:rsidRDefault="00A452D5" w:rsidP="0028640B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-----------------------------------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FA3D" w14:textId="0CB86DB8" w:rsidR="00A452D5" w:rsidRPr="0002636B" w:rsidRDefault="00A452D5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----------------------------</w:t>
            </w:r>
          </w:p>
        </w:tc>
      </w:tr>
    </w:tbl>
    <w:p w14:paraId="08607467" w14:textId="77777777" w:rsidR="00A452D5" w:rsidRDefault="00A452D5" w:rsidP="00A452D5"/>
    <w:p w14:paraId="07F7C389" w14:textId="77777777" w:rsidR="00BE5DF7" w:rsidRDefault="00BE5DF7"/>
    <w:sectPr w:rsidR="00BE5DF7" w:rsidSect="00CF3B64">
      <w:pgSz w:w="11907" w:h="16839" w:code="9"/>
      <w:pgMar w:top="1276" w:right="1701" w:bottom="12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D5"/>
    <w:rsid w:val="00153908"/>
    <w:rsid w:val="007974DC"/>
    <w:rsid w:val="00A452D5"/>
    <w:rsid w:val="00BE5DF7"/>
    <w:rsid w:val="00CF3B64"/>
    <w:rsid w:val="00E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AD78"/>
  <w15:chartTrackingRefBased/>
  <w15:docId w15:val="{EED398CC-01C9-4FB1-A82A-12D48430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2D5"/>
    <w:pPr>
      <w:spacing w:after="0" w:line="240" w:lineRule="auto"/>
    </w:pPr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452D5"/>
    <w:pPr>
      <w:spacing w:after="0" w:line="240" w:lineRule="auto"/>
    </w:pPr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Perrone</dc:creator>
  <cp:keywords/>
  <dc:description/>
  <cp:lastModifiedBy>Fabiana Perrone</cp:lastModifiedBy>
  <cp:revision>3</cp:revision>
  <dcterms:created xsi:type="dcterms:W3CDTF">2020-12-04T00:50:00Z</dcterms:created>
  <dcterms:modified xsi:type="dcterms:W3CDTF">2020-12-04T01:28:00Z</dcterms:modified>
</cp:coreProperties>
</file>