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2E89" w14:textId="77777777" w:rsidR="00B67B6B" w:rsidRDefault="00B67B6B" w:rsidP="00B67B6B">
      <w:pPr>
        <w:pStyle w:val="Normal1"/>
        <w:ind w:left="2448"/>
        <w:rPr>
          <w:rFonts w:ascii="Arial" w:eastAsia="Arial" w:hAnsi="Arial" w:cs="Arial"/>
          <w:b/>
          <w:color w:val="000000"/>
          <w:sz w:val="28"/>
          <w:szCs w:val="28"/>
          <w:u w:val="single"/>
        </w:rPr>
      </w:pPr>
      <w:r>
        <w:rPr>
          <w:rFonts w:ascii="Arial" w:eastAsia="Arial" w:hAnsi="Arial" w:cs="Arial"/>
          <w:b/>
          <w:color w:val="000000"/>
          <w:sz w:val="28"/>
          <w:szCs w:val="28"/>
          <w:u w:val="single"/>
        </w:rPr>
        <w:t>FORMULARIO ACTA DICTAMEN</w:t>
      </w:r>
    </w:p>
    <w:p w14:paraId="5FCD2073" w14:textId="77777777" w:rsidR="00B67B6B" w:rsidRDefault="00B67B6B" w:rsidP="00B67B6B">
      <w:pPr>
        <w:pStyle w:val="Normal1"/>
        <w:ind w:left="2448"/>
        <w:rPr>
          <w:rFonts w:ascii="Arial" w:eastAsia="Arial" w:hAnsi="Arial" w:cs="Arial"/>
          <w:b/>
          <w:sz w:val="28"/>
          <w:szCs w:val="28"/>
          <w:u w:val="single"/>
        </w:rPr>
      </w:pPr>
    </w:p>
    <w:p w14:paraId="5B62BE15" w14:textId="25B2B4C1" w:rsidR="00B67B6B" w:rsidRPr="00EC57AB" w:rsidRDefault="00B67B6B" w:rsidP="00B67B6B">
      <w:pPr>
        <w:pStyle w:val="Normal1"/>
        <w:widowControl w:val="0"/>
        <w:spacing w:before="374" w:line="276" w:lineRule="auto"/>
        <w:ind w:right="24"/>
        <w:jc w:val="both"/>
        <w:rPr>
          <w:rFonts w:ascii="Arial" w:eastAsia="Arial" w:hAnsi="Arial" w:cs="Arial"/>
          <w:sz w:val="24"/>
          <w:szCs w:val="24"/>
        </w:rPr>
      </w:pPr>
      <w:r>
        <w:rPr>
          <w:rFonts w:ascii="Arial" w:eastAsia="Arial" w:hAnsi="Arial" w:cs="Arial"/>
          <w:sz w:val="24"/>
          <w:szCs w:val="24"/>
        </w:rPr>
        <w:t>En el día de la fecha 1de diciembre de 2020, se reúne la Comisión ad hoc, de acuerdo a lo establecido en la Resolución Ministerial N° 194 / 2020 constituida por: Maricel Rojas, Marita Suarez, Eda Ferranti y Fabiana Perrone a los fines de tratar en el orden del día: la Cobertura de horas cátedra vacantes para el espacio curricular / unidad curricular Práctica Docente III  de la carrera de Profesorado de Física del Instituto Eduardo Lefébvre de Laboulaye de la localidad Laboulaye del Departamento Roque Sáenz Peña con una carga horaria de 6 horas. Carácter:</w:t>
      </w:r>
      <w:r w:rsidRPr="00A452D5">
        <w:rPr>
          <w:color w:val="000000"/>
          <w:sz w:val="27"/>
          <w:szCs w:val="27"/>
        </w:rPr>
        <w:t xml:space="preserve"> </w:t>
      </w:r>
      <w:r w:rsidRPr="00EC57AB">
        <w:rPr>
          <w:rFonts w:ascii="Arial" w:hAnsi="Arial" w:cs="Arial"/>
          <w:color w:val="000000"/>
          <w:sz w:val="24"/>
          <w:szCs w:val="24"/>
        </w:rPr>
        <w:t>Interino a Término</w:t>
      </w:r>
    </w:p>
    <w:p w14:paraId="76231174" w14:textId="28DBA499" w:rsidR="00B67B6B" w:rsidRDefault="00B67B6B" w:rsidP="00B67B6B">
      <w:pPr>
        <w:pStyle w:val="Normal1"/>
        <w:widowControl w:val="0"/>
        <w:spacing w:line="276" w:lineRule="auto"/>
        <w:ind w:right="24"/>
        <w:jc w:val="both"/>
        <w:rPr>
          <w:rFonts w:ascii="Arial" w:eastAsia="Arial" w:hAnsi="Arial" w:cs="Arial"/>
          <w:sz w:val="24"/>
          <w:szCs w:val="24"/>
        </w:rPr>
      </w:pPr>
      <w:r>
        <w:rPr>
          <w:rFonts w:ascii="Arial" w:eastAsia="Arial" w:hAnsi="Arial" w:cs="Arial"/>
          <w:sz w:val="24"/>
          <w:szCs w:val="24"/>
        </w:rPr>
        <w:t>Fecha de vigencia de la publicación desde el 16 de noviembre al 18 de noviembre de 2020.</w:t>
      </w:r>
    </w:p>
    <w:p w14:paraId="3A618993" w14:textId="6BB479D8" w:rsidR="00B67B6B" w:rsidRPr="00B67B6B" w:rsidRDefault="00B67B6B" w:rsidP="00B67B6B">
      <w:pPr>
        <w:shd w:val="clear" w:color="auto" w:fill="FFFFFF"/>
        <w:jc w:val="both"/>
        <w:rPr>
          <w:rFonts w:ascii="Arial" w:hAnsi="Arial" w:cs="Arial"/>
          <w:color w:val="000000"/>
          <w:sz w:val="24"/>
          <w:szCs w:val="24"/>
        </w:rPr>
      </w:pPr>
      <w:r w:rsidRPr="00EC57AB">
        <w:rPr>
          <w:rFonts w:ascii="Arial" w:eastAsia="Arial" w:hAnsi="Arial" w:cs="Arial"/>
          <w:sz w:val="24"/>
          <w:szCs w:val="24"/>
        </w:rPr>
        <w:t>Horario de dictado</w:t>
      </w:r>
      <w:r>
        <w:rPr>
          <w:rFonts w:ascii="Arial" w:eastAsia="Arial" w:hAnsi="Arial" w:cs="Arial"/>
          <w:sz w:val="24"/>
          <w:szCs w:val="24"/>
        </w:rPr>
        <w:t xml:space="preserve"> </w:t>
      </w:r>
      <w:r w:rsidRPr="00B67B6B">
        <w:rPr>
          <w:rFonts w:ascii="Arial" w:hAnsi="Arial" w:cs="Arial"/>
          <w:color w:val="000000"/>
          <w:sz w:val="24"/>
          <w:szCs w:val="24"/>
        </w:rPr>
        <w:t>lunes: 20.35 a 21.15, 21.15 a 21.55, 21.55 a 22.35. miércoles: 18.35 a 19.15, 19.15 a 19.55 y jueves: 23.20 a 00.00</w:t>
      </w:r>
    </w:p>
    <w:p w14:paraId="5BD0ADFC" w14:textId="3D2336E2" w:rsidR="00B67B6B" w:rsidRPr="00B67B6B" w:rsidRDefault="00B67B6B" w:rsidP="00B67B6B">
      <w:pPr>
        <w:shd w:val="clear" w:color="auto" w:fill="FFFFFF"/>
        <w:jc w:val="both"/>
        <w:rPr>
          <w:rFonts w:ascii="Arial" w:eastAsia="Times New Roman" w:hAnsi="Arial" w:cs="Arial"/>
          <w:color w:val="26282A"/>
          <w:spacing w:val="-6"/>
          <w:sz w:val="24"/>
          <w:szCs w:val="24"/>
          <w:bdr w:val="none" w:sz="0" w:space="0" w:color="auto" w:frame="1"/>
        </w:rPr>
      </w:pPr>
      <w:r w:rsidRPr="00EC57AB">
        <w:rPr>
          <w:rFonts w:ascii="Arial" w:hAnsi="Arial" w:cs="Arial"/>
          <w:color w:val="000000"/>
          <w:sz w:val="24"/>
          <w:szCs w:val="24"/>
        </w:rPr>
        <w:t>Causal de la vacante: Apertura</w:t>
      </w:r>
      <w:r w:rsidRPr="00EC57AB">
        <w:rPr>
          <w:rFonts w:ascii="Arial" w:eastAsia="Times New Roman" w:hAnsi="Arial" w:cs="Arial"/>
          <w:color w:val="26282A"/>
          <w:spacing w:val="-6"/>
          <w:sz w:val="24"/>
          <w:szCs w:val="24"/>
          <w:bdr w:val="none" w:sz="0" w:space="0" w:color="auto" w:frame="1"/>
        </w:rPr>
        <w:t xml:space="preserve">                         </w:t>
      </w:r>
      <w:r>
        <w:rPr>
          <w:rFonts w:ascii="Arial" w:eastAsia="Arial" w:hAnsi="Arial" w:cs="Arial"/>
          <w:b/>
          <w:color w:val="000000"/>
          <w:sz w:val="24"/>
          <w:szCs w:val="24"/>
        </w:rPr>
        <w:t xml:space="preserve"> </w:t>
      </w:r>
    </w:p>
    <w:p w14:paraId="4D493006" w14:textId="76D3015F" w:rsidR="00B67B6B" w:rsidRDefault="00B67B6B" w:rsidP="00B67B6B">
      <w:pPr>
        <w:pStyle w:val="Normal1"/>
        <w:tabs>
          <w:tab w:val="left" w:pos="2513"/>
          <w:tab w:val="left" w:pos="5134"/>
          <w:tab w:val="right" w:pos="7143"/>
        </w:tabs>
        <w:spacing w:before="324" w:line="276" w:lineRule="auto"/>
        <w:jc w:val="both"/>
        <w:rPr>
          <w:rFonts w:ascii="Arial" w:eastAsia="Arial" w:hAnsi="Arial" w:cs="Arial"/>
          <w:b/>
          <w:sz w:val="24"/>
          <w:szCs w:val="24"/>
        </w:rPr>
      </w:pPr>
      <w:r>
        <w:rPr>
          <w:rFonts w:ascii="Arial" w:eastAsia="Arial" w:hAnsi="Arial" w:cs="Arial"/>
          <w:b/>
          <w:color w:val="000000"/>
          <w:sz w:val="24"/>
          <w:szCs w:val="24"/>
        </w:rPr>
        <w:t xml:space="preserve">Aspirantes no merituados  </w:t>
      </w: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620"/>
        <w:gridCol w:w="2370"/>
        <w:gridCol w:w="2610"/>
      </w:tblGrid>
      <w:tr w:rsidR="00B67B6B" w14:paraId="75EC7525" w14:textId="77777777" w:rsidTr="0028640B">
        <w:tc>
          <w:tcPr>
            <w:tcW w:w="2490" w:type="dxa"/>
            <w:shd w:val="clear" w:color="auto" w:fill="auto"/>
            <w:tcMar>
              <w:top w:w="100" w:type="dxa"/>
              <w:left w:w="100" w:type="dxa"/>
              <w:bottom w:w="100" w:type="dxa"/>
              <w:right w:w="100" w:type="dxa"/>
            </w:tcMar>
          </w:tcPr>
          <w:p w14:paraId="0BC43544" w14:textId="77777777" w:rsidR="00B67B6B" w:rsidRDefault="00B67B6B" w:rsidP="0028640B">
            <w:pPr>
              <w:pStyle w:val="Normal1"/>
              <w:tabs>
                <w:tab w:val="left" w:pos="2513"/>
                <w:tab w:val="left" w:pos="5134"/>
                <w:tab w:val="right" w:pos="7143"/>
              </w:tabs>
              <w:jc w:val="center"/>
              <w:rPr>
                <w:rFonts w:ascii="Arial" w:eastAsia="Arial" w:hAnsi="Arial" w:cs="Arial"/>
                <w:b/>
              </w:rPr>
            </w:pPr>
            <w:r>
              <w:rPr>
                <w:rFonts w:ascii="Arial" w:eastAsia="Arial" w:hAnsi="Arial" w:cs="Arial"/>
                <w:b/>
              </w:rPr>
              <w:t>Apellido y nombre</w:t>
            </w:r>
          </w:p>
        </w:tc>
        <w:tc>
          <w:tcPr>
            <w:tcW w:w="1620" w:type="dxa"/>
            <w:shd w:val="clear" w:color="auto" w:fill="auto"/>
            <w:tcMar>
              <w:top w:w="100" w:type="dxa"/>
              <w:left w:w="100" w:type="dxa"/>
              <w:bottom w:w="100" w:type="dxa"/>
              <w:right w:w="100" w:type="dxa"/>
            </w:tcMar>
          </w:tcPr>
          <w:p w14:paraId="013C3871" w14:textId="77777777" w:rsidR="00B67B6B" w:rsidRDefault="00B67B6B" w:rsidP="0028640B">
            <w:pPr>
              <w:pStyle w:val="Normal1"/>
              <w:widowControl w:val="0"/>
              <w:pBdr>
                <w:top w:val="nil"/>
                <w:left w:val="nil"/>
                <w:bottom w:val="nil"/>
                <w:right w:val="nil"/>
                <w:between w:val="nil"/>
              </w:pBdr>
              <w:jc w:val="center"/>
              <w:rPr>
                <w:rFonts w:ascii="Arial" w:eastAsia="Arial" w:hAnsi="Arial" w:cs="Arial"/>
                <w:b/>
              </w:rPr>
            </w:pPr>
            <w:r>
              <w:rPr>
                <w:rFonts w:ascii="Arial" w:eastAsia="Arial" w:hAnsi="Arial" w:cs="Arial"/>
                <w:b/>
              </w:rPr>
              <w:t>DNI</w:t>
            </w:r>
          </w:p>
        </w:tc>
        <w:tc>
          <w:tcPr>
            <w:tcW w:w="2370" w:type="dxa"/>
            <w:shd w:val="clear" w:color="auto" w:fill="auto"/>
            <w:tcMar>
              <w:top w:w="100" w:type="dxa"/>
              <w:left w:w="100" w:type="dxa"/>
              <w:bottom w:w="100" w:type="dxa"/>
              <w:right w:w="100" w:type="dxa"/>
            </w:tcMar>
          </w:tcPr>
          <w:p w14:paraId="7E4DE624" w14:textId="77777777" w:rsidR="00B67B6B" w:rsidRDefault="00B67B6B" w:rsidP="0028640B">
            <w:pPr>
              <w:pStyle w:val="Normal1"/>
              <w:tabs>
                <w:tab w:val="left" w:pos="2513"/>
                <w:tab w:val="left" w:pos="5134"/>
                <w:tab w:val="right" w:pos="7143"/>
              </w:tabs>
              <w:jc w:val="center"/>
              <w:rPr>
                <w:rFonts w:ascii="Arial" w:eastAsia="Arial" w:hAnsi="Arial" w:cs="Arial"/>
                <w:b/>
              </w:rPr>
            </w:pPr>
            <w:r>
              <w:rPr>
                <w:rFonts w:ascii="Arial" w:eastAsia="Arial" w:hAnsi="Arial" w:cs="Arial"/>
                <w:b/>
              </w:rPr>
              <w:t>Título</w:t>
            </w:r>
          </w:p>
        </w:tc>
        <w:tc>
          <w:tcPr>
            <w:tcW w:w="2610" w:type="dxa"/>
            <w:shd w:val="clear" w:color="auto" w:fill="auto"/>
            <w:tcMar>
              <w:top w:w="100" w:type="dxa"/>
              <w:left w:w="100" w:type="dxa"/>
              <w:bottom w:w="100" w:type="dxa"/>
              <w:right w:w="100" w:type="dxa"/>
            </w:tcMar>
          </w:tcPr>
          <w:p w14:paraId="0D8301E5" w14:textId="77777777" w:rsidR="00B67B6B" w:rsidRDefault="00B67B6B" w:rsidP="0028640B">
            <w:pPr>
              <w:pStyle w:val="Normal1"/>
              <w:tabs>
                <w:tab w:val="left" w:pos="2513"/>
                <w:tab w:val="left" w:pos="5134"/>
                <w:tab w:val="right" w:pos="7143"/>
              </w:tabs>
              <w:jc w:val="center"/>
              <w:rPr>
                <w:rFonts w:ascii="Arial" w:eastAsia="Arial" w:hAnsi="Arial" w:cs="Arial"/>
                <w:b/>
              </w:rPr>
            </w:pPr>
            <w:r>
              <w:rPr>
                <w:rFonts w:ascii="Arial" w:eastAsia="Arial" w:hAnsi="Arial" w:cs="Arial"/>
                <w:b/>
              </w:rPr>
              <w:t>Fundamentos de lo dictaminado</w:t>
            </w:r>
          </w:p>
        </w:tc>
      </w:tr>
      <w:tr w:rsidR="00B67B6B" w14:paraId="7C9A8864" w14:textId="77777777" w:rsidTr="0028640B">
        <w:tc>
          <w:tcPr>
            <w:tcW w:w="2490" w:type="dxa"/>
            <w:shd w:val="clear" w:color="auto" w:fill="auto"/>
            <w:tcMar>
              <w:top w:w="100" w:type="dxa"/>
              <w:left w:w="100" w:type="dxa"/>
              <w:bottom w:w="100" w:type="dxa"/>
              <w:right w:w="100" w:type="dxa"/>
            </w:tcMar>
          </w:tcPr>
          <w:p w14:paraId="0B570D2C" w14:textId="5A010268" w:rsidR="00B67B6B" w:rsidRPr="0002636B" w:rsidRDefault="00B67B6B" w:rsidP="0028640B">
            <w:pPr>
              <w:pStyle w:val="Normal1"/>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Beni, Desirée</w:t>
            </w:r>
          </w:p>
        </w:tc>
        <w:tc>
          <w:tcPr>
            <w:tcW w:w="1620" w:type="dxa"/>
            <w:shd w:val="clear" w:color="auto" w:fill="auto"/>
            <w:tcMar>
              <w:top w:w="100" w:type="dxa"/>
              <w:left w:w="100" w:type="dxa"/>
              <w:bottom w:w="100" w:type="dxa"/>
              <w:right w:w="100" w:type="dxa"/>
            </w:tcMar>
          </w:tcPr>
          <w:p w14:paraId="5CAE361B" w14:textId="77777777" w:rsidR="0095002E" w:rsidRPr="0095002E" w:rsidRDefault="0095002E" w:rsidP="0095002E">
            <w:pPr>
              <w:rPr>
                <w:rFonts w:ascii="Arial" w:hAnsi="Arial" w:cs="Arial"/>
                <w:sz w:val="18"/>
                <w:szCs w:val="18"/>
              </w:rPr>
            </w:pPr>
            <w:r w:rsidRPr="0095002E">
              <w:rPr>
                <w:rFonts w:ascii="Arial" w:hAnsi="Arial" w:cs="Arial"/>
                <w:b/>
                <w:sz w:val="18"/>
                <w:szCs w:val="18"/>
              </w:rPr>
              <w:t>29884170</w:t>
            </w:r>
          </w:p>
          <w:p w14:paraId="25A106DC" w14:textId="1A968F27" w:rsidR="00B67B6B" w:rsidRPr="0002636B" w:rsidRDefault="00B67B6B" w:rsidP="00B67B6B">
            <w:pPr>
              <w:pStyle w:val="Normal1"/>
              <w:widowControl w:val="0"/>
              <w:spacing w:line="276" w:lineRule="auto"/>
              <w:rPr>
                <w:rFonts w:ascii="Arial" w:eastAsia="Arial" w:hAnsi="Arial" w:cs="Arial"/>
                <w:b/>
                <w:sz w:val="18"/>
                <w:szCs w:val="18"/>
              </w:rPr>
            </w:pPr>
          </w:p>
        </w:tc>
        <w:tc>
          <w:tcPr>
            <w:tcW w:w="2370" w:type="dxa"/>
            <w:shd w:val="clear" w:color="auto" w:fill="auto"/>
            <w:tcMar>
              <w:top w:w="100" w:type="dxa"/>
              <w:left w:w="100" w:type="dxa"/>
              <w:bottom w:w="100" w:type="dxa"/>
              <w:right w:w="100" w:type="dxa"/>
            </w:tcMar>
          </w:tcPr>
          <w:p w14:paraId="2D90F067" w14:textId="3E461067" w:rsidR="00B67B6B" w:rsidRPr="0002636B" w:rsidRDefault="0095002E" w:rsidP="0028640B">
            <w:pPr>
              <w:pStyle w:val="Normal1"/>
              <w:widowControl w:val="0"/>
              <w:spacing w:line="276" w:lineRule="auto"/>
              <w:rPr>
                <w:rFonts w:ascii="Arial" w:eastAsia="Arial" w:hAnsi="Arial" w:cs="Arial"/>
                <w:b/>
                <w:sz w:val="18"/>
                <w:szCs w:val="18"/>
              </w:rPr>
            </w:pPr>
            <w:r>
              <w:rPr>
                <w:rFonts w:ascii="Arial" w:eastAsia="Arial" w:hAnsi="Arial" w:cs="Arial"/>
                <w:b/>
                <w:sz w:val="18"/>
                <w:szCs w:val="18"/>
              </w:rPr>
              <w:t>Ingeniera Industrial</w:t>
            </w:r>
          </w:p>
        </w:tc>
        <w:tc>
          <w:tcPr>
            <w:tcW w:w="2610" w:type="dxa"/>
            <w:shd w:val="clear" w:color="auto" w:fill="auto"/>
            <w:tcMar>
              <w:top w:w="100" w:type="dxa"/>
              <w:left w:w="100" w:type="dxa"/>
              <w:bottom w:w="100" w:type="dxa"/>
              <w:right w:w="100" w:type="dxa"/>
            </w:tcMar>
          </w:tcPr>
          <w:p w14:paraId="2C636806" w14:textId="3B3BCF60" w:rsidR="00B67B6B" w:rsidRPr="0002636B" w:rsidRDefault="0095002E" w:rsidP="0028640B">
            <w:pPr>
              <w:pStyle w:val="Normal1"/>
              <w:widowControl w:val="0"/>
              <w:spacing w:line="276" w:lineRule="auto"/>
              <w:jc w:val="center"/>
              <w:rPr>
                <w:rFonts w:ascii="Arial" w:eastAsia="Arial" w:hAnsi="Arial" w:cs="Arial"/>
                <w:b/>
                <w:sz w:val="18"/>
                <w:szCs w:val="18"/>
              </w:rPr>
            </w:pPr>
            <w:r>
              <w:rPr>
                <w:rFonts w:ascii="Arial" w:eastAsia="Arial" w:hAnsi="Arial" w:cs="Arial"/>
                <w:b/>
                <w:sz w:val="18"/>
                <w:szCs w:val="18"/>
              </w:rPr>
              <w:t>La titulación no responde al perfil para cubrir el espacio curricular</w:t>
            </w:r>
          </w:p>
        </w:tc>
      </w:tr>
    </w:tbl>
    <w:p w14:paraId="4F6F58D7" w14:textId="77777777" w:rsidR="00B67B6B" w:rsidRDefault="00B67B6B" w:rsidP="00B67B6B"/>
    <w:p w14:paraId="7DB01B53" w14:textId="77777777" w:rsidR="00B67B6B" w:rsidRDefault="00B67B6B" w:rsidP="00B67B6B"/>
    <w:p w14:paraId="37BE051A" w14:textId="77777777" w:rsidR="00BE5DF7" w:rsidRDefault="00BE5DF7"/>
    <w:sectPr w:rsidR="00BE5DF7" w:rsidSect="00CF3B64">
      <w:pgSz w:w="11907" w:h="16839" w:code="9"/>
      <w:pgMar w:top="1276" w:right="1701" w:bottom="127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6B"/>
    <w:rsid w:val="0034550F"/>
    <w:rsid w:val="0095002E"/>
    <w:rsid w:val="00B67B6B"/>
    <w:rsid w:val="00BE5DF7"/>
    <w:rsid w:val="00CF3B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9AFD"/>
  <w15:chartTrackingRefBased/>
  <w15:docId w15:val="{8AF734A7-4290-4356-9446-19816C0B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6B"/>
    <w:pPr>
      <w:spacing w:after="0" w:line="240" w:lineRule="auto"/>
    </w:pPr>
    <w:rPr>
      <w:rFonts w:ascii="Calibri" w:eastAsia="Calibri" w:hAnsi="Calibri" w:cs="Calibri"/>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67B6B"/>
    <w:pPr>
      <w:spacing w:after="0" w:line="240" w:lineRule="auto"/>
    </w:pPr>
    <w:rPr>
      <w:rFonts w:ascii="Calibri" w:eastAsia="Calibri" w:hAnsi="Calibri" w:cs="Calibri"/>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Perrone</dc:creator>
  <cp:keywords/>
  <dc:description/>
  <cp:lastModifiedBy>Fabiana Perrone</cp:lastModifiedBy>
  <cp:revision>2</cp:revision>
  <dcterms:created xsi:type="dcterms:W3CDTF">2020-12-04T01:06:00Z</dcterms:created>
  <dcterms:modified xsi:type="dcterms:W3CDTF">2020-12-04T01:26:00Z</dcterms:modified>
</cp:coreProperties>
</file>